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D97B3" w14:textId="73B30633" w:rsidR="00E16C1F" w:rsidRDefault="004C3847" w:rsidP="00823CE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Queensland Civil and Administrative Tribunal (</w:t>
      </w:r>
      <w:r w:rsidR="009B3FAD" w:rsidRPr="00386FE5">
        <w:rPr>
          <w:rFonts w:ascii="Arial" w:hAnsi="Arial" w:cs="Arial"/>
          <w:bCs/>
          <w:spacing w:val="-3"/>
          <w:sz w:val="22"/>
          <w:szCs w:val="22"/>
        </w:rPr>
        <w:t>QCAT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="009B3FAD" w:rsidRPr="00386FE5">
        <w:rPr>
          <w:rFonts w:ascii="Arial" w:hAnsi="Arial" w:cs="Arial"/>
          <w:bCs/>
          <w:spacing w:val="-3"/>
          <w:sz w:val="22"/>
          <w:szCs w:val="22"/>
        </w:rPr>
        <w:t xml:space="preserve"> is an independent, accessible tribunal that efficiently resolves disputes on a range of matters. QCAT’s purpose is to provide a quick, inexpensive avenue to resolve disputes between parties and make decisions about: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2615F85E" w14:textId="77777777" w:rsidR="00823CE0" w:rsidRDefault="00823CE0" w:rsidP="007C5FF3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  <w:sectPr w:rsidR="00823CE0" w:rsidSect="00CF7DC0">
          <w:headerReference w:type="default" r:id="rId11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34744F11" w14:textId="6847D07B" w:rsidR="00E16C1F" w:rsidRDefault="009B3FAD" w:rsidP="007C5FF3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adult administration and guardianship;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34FEBC31" w14:textId="77777777" w:rsidR="00E16C1F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administrative decisions;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5D89BC8C" w14:textId="77777777" w:rsidR="00E16C1F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anti-discrimination;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6369A736" w14:textId="77777777" w:rsidR="00E16C1F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building disputes;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37992554" w14:textId="77777777" w:rsidR="00E16C1F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children and young people;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0AD24564" w14:textId="77777777" w:rsidR="00E16C1F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consumer disputes;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490F1B8F" w14:textId="77777777" w:rsidR="00E16C1F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debt disputes;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136D101C" w14:textId="181B17D6" w:rsidR="00E16C1F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minor civil disputes</w:t>
      </w:r>
      <w:r w:rsidR="00E16C1F">
        <w:rPr>
          <w:rFonts w:ascii="Arial" w:hAnsi="Arial" w:cs="Arial"/>
          <w:bCs/>
          <w:spacing w:val="-3"/>
          <w:sz w:val="22"/>
          <w:szCs w:val="22"/>
        </w:rPr>
        <w:t xml:space="preserve"> (MCDs)</w:t>
      </w:r>
      <w:r w:rsidRPr="00386FE5">
        <w:rPr>
          <w:rFonts w:ascii="Arial" w:hAnsi="Arial" w:cs="Arial"/>
          <w:bCs/>
          <w:spacing w:val="-3"/>
          <w:sz w:val="22"/>
          <w:szCs w:val="22"/>
        </w:rPr>
        <w:t>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27035B20" w14:textId="77777777" w:rsidR="00E16C1F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occupational regulation;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0E6FBB12" w14:textId="77777777" w:rsidR="00E16C1F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other civil disputes;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12F69095" w14:textId="77777777" w:rsidR="00E16C1F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residential tenancy disputes;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066F9FBE" w14:textId="77777777" w:rsidR="00E16C1F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retail shop leases; and</w:t>
      </w:r>
      <w:r w:rsid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53E42149" w14:textId="18155BCE" w:rsidR="009B3FAD" w:rsidRPr="00386FE5" w:rsidRDefault="009B3FAD" w:rsidP="00370AE7">
      <w:pPr>
        <w:numPr>
          <w:ilvl w:val="0"/>
          <w:numId w:val="6"/>
        </w:numPr>
        <w:spacing w:before="8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FE5">
        <w:rPr>
          <w:rFonts w:ascii="Arial" w:hAnsi="Arial" w:cs="Arial"/>
          <w:bCs/>
          <w:spacing w:val="-3"/>
          <w:sz w:val="22"/>
          <w:szCs w:val="22"/>
        </w:rPr>
        <w:t>tree disputes.</w:t>
      </w:r>
    </w:p>
    <w:p w14:paraId="1AB6479F" w14:textId="77777777" w:rsidR="00823CE0" w:rsidRDefault="00823CE0" w:rsidP="00A706B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  <w:sectPr w:rsidR="00823CE0" w:rsidSect="00823CE0">
          <w:type w:val="continuous"/>
          <w:pgSz w:w="11906" w:h="16838" w:code="9"/>
          <w:pgMar w:top="1134" w:right="1134" w:bottom="1134" w:left="1134" w:header="709" w:footer="709" w:gutter="0"/>
          <w:cols w:num="2" w:space="708"/>
          <w:docGrid w:linePitch="360"/>
        </w:sectPr>
      </w:pPr>
    </w:p>
    <w:p w14:paraId="71DDDB23" w14:textId="33E60764" w:rsidR="009B3FAD" w:rsidRPr="009B3FAD" w:rsidRDefault="009B3FAD" w:rsidP="00823CE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Section 171(1) of the </w:t>
      </w:r>
      <w:r w:rsidR="004C3847" w:rsidRPr="004C3847">
        <w:rPr>
          <w:rFonts w:ascii="Arial" w:hAnsi="Arial" w:cs="Arial"/>
          <w:bCs/>
          <w:i/>
          <w:spacing w:val="-3"/>
          <w:sz w:val="22"/>
          <w:szCs w:val="22"/>
        </w:rPr>
        <w:t xml:space="preserve">Queensland Civil and Administrative Tribunal </w:t>
      </w:r>
      <w:r w:rsidRPr="004C3847">
        <w:rPr>
          <w:rFonts w:ascii="Arial" w:hAnsi="Arial" w:cs="Arial"/>
          <w:bCs/>
          <w:i/>
          <w:spacing w:val="-3"/>
          <w:sz w:val="22"/>
          <w:szCs w:val="22"/>
        </w:rPr>
        <w:t>Act</w:t>
      </w:r>
      <w:r w:rsidR="004C3847" w:rsidRPr="004C3847">
        <w:rPr>
          <w:rFonts w:ascii="Arial" w:hAnsi="Arial" w:cs="Arial"/>
          <w:bCs/>
          <w:i/>
          <w:spacing w:val="-3"/>
          <w:sz w:val="22"/>
          <w:szCs w:val="22"/>
        </w:rPr>
        <w:t xml:space="preserve"> 2009</w:t>
      </w:r>
      <w:r w:rsidR="004C3847">
        <w:rPr>
          <w:rFonts w:ascii="Arial" w:hAnsi="Arial" w:cs="Arial"/>
          <w:bCs/>
          <w:spacing w:val="-3"/>
          <w:sz w:val="22"/>
          <w:szCs w:val="22"/>
        </w:rPr>
        <w:t xml:space="preserve"> (the Act)</w:t>
      </w: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 provides that members of QCAT are the President, the Deputy President, the Senior Members, the Ordinary Members 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9B3FAD">
        <w:rPr>
          <w:rFonts w:ascii="Arial" w:hAnsi="Arial" w:cs="Arial"/>
          <w:bCs/>
          <w:spacing w:val="-3"/>
          <w:sz w:val="22"/>
          <w:szCs w:val="22"/>
        </w:rPr>
        <w:t>the Supplementary Members.</w:t>
      </w:r>
    </w:p>
    <w:p w14:paraId="672CC3F3" w14:textId="07DD22A5" w:rsidR="009B3FAD" w:rsidRPr="009B3FAD" w:rsidRDefault="009B3FAD" w:rsidP="00823CE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B3FAD">
        <w:rPr>
          <w:rFonts w:ascii="Arial" w:hAnsi="Arial" w:cs="Arial"/>
          <w:bCs/>
          <w:spacing w:val="-3"/>
          <w:sz w:val="22"/>
          <w:szCs w:val="22"/>
        </w:rPr>
        <w:t>Section 183</w:t>
      </w:r>
      <w:r w:rsidR="00634E01">
        <w:rPr>
          <w:rFonts w:ascii="Arial" w:hAnsi="Arial" w:cs="Arial"/>
          <w:bCs/>
          <w:spacing w:val="-3"/>
          <w:sz w:val="22"/>
          <w:szCs w:val="22"/>
        </w:rPr>
        <w:t>(1)</w:t>
      </w: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 of the Act provides that as many </w:t>
      </w:r>
      <w:r w:rsidR="004C3847">
        <w:rPr>
          <w:rFonts w:ascii="Arial" w:hAnsi="Arial" w:cs="Arial"/>
          <w:bCs/>
          <w:spacing w:val="-3"/>
          <w:sz w:val="22"/>
          <w:szCs w:val="22"/>
        </w:rPr>
        <w:t>S</w:t>
      </w: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enior </w:t>
      </w:r>
      <w:r w:rsidR="004C3847">
        <w:rPr>
          <w:rFonts w:ascii="Arial" w:hAnsi="Arial" w:cs="Arial"/>
          <w:bCs/>
          <w:spacing w:val="-3"/>
          <w:sz w:val="22"/>
          <w:szCs w:val="22"/>
        </w:rPr>
        <w:t>M</w:t>
      </w: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embers and </w:t>
      </w:r>
      <w:r w:rsidR="004C3847">
        <w:rPr>
          <w:rFonts w:ascii="Arial" w:hAnsi="Arial" w:cs="Arial"/>
          <w:bCs/>
          <w:spacing w:val="-3"/>
          <w:sz w:val="22"/>
          <w:szCs w:val="22"/>
        </w:rPr>
        <w:t>O</w:t>
      </w: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rdinary </w:t>
      </w:r>
      <w:r w:rsidR="004C3847">
        <w:rPr>
          <w:rFonts w:ascii="Arial" w:hAnsi="Arial" w:cs="Arial"/>
          <w:bCs/>
          <w:spacing w:val="-3"/>
          <w:sz w:val="22"/>
          <w:szCs w:val="22"/>
        </w:rPr>
        <w:t>M</w:t>
      </w:r>
      <w:r w:rsidRPr="009B3FAD">
        <w:rPr>
          <w:rFonts w:ascii="Arial" w:hAnsi="Arial" w:cs="Arial"/>
          <w:bCs/>
          <w:spacing w:val="-3"/>
          <w:sz w:val="22"/>
          <w:szCs w:val="22"/>
        </w:rPr>
        <w:t>embers as a</w:t>
      </w:r>
      <w:r w:rsidR="00566548">
        <w:rPr>
          <w:rFonts w:ascii="Arial" w:hAnsi="Arial" w:cs="Arial"/>
          <w:bCs/>
          <w:spacing w:val="-3"/>
          <w:sz w:val="22"/>
          <w:szCs w:val="22"/>
        </w:rPr>
        <w:t>re</w:t>
      </w: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 required for the proper functioning of </w:t>
      </w:r>
      <w:r w:rsidR="00634E01">
        <w:rPr>
          <w:rFonts w:ascii="Arial" w:hAnsi="Arial" w:cs="Arial"/>
          <w:bCs/>
          <w:spacing w:val="-3"/>
          <w:sz w:val="22"/>
          <w:szCs w:val="22"/>
        </w:rPr>
        <w:t>QCAT</w:t>
      </w: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 must be appointed.</w:t>
      </w:r>
    </w:p>
    <w:p w14:paraId="3B663365" w14:textId="4986D295" w:rsidR="009B3FAD" w:rsidRPr="009B3FAD" w:rsidRDefault="009B3FAD" w:rsidP="00823CE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Section 198(1) of the Act provides that as many Adjudicators as </w:t>
      </w:r>
      <w:r w:rsidR="00566548">
        <w:rPr>
          <w:rFonts w:ascii="Arial" w:hAnsi="Arial" w:cs="Arial"/>
          <w:bCs/>
          <w:spacing w:val="-3"/>
          <w:sz w:val="22"/>
          <w:szCs w:val="22"/>
        </w:rPr>
        <w:t xml:space="preserve">are </w:t>
      </w: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required for the proper functioning of </w:t>
      </w:r>
      <w:r w:rsidR="00634E01">
        <w:rPr>
          <w:rFonts w:ascii="Arial" w:hAnsi="Arial" w:cs="Arial"/>
          <w:bCs/>
          <w:spacing w:val="-3"/>
          <w:sz w:val="22"/>
          <w:szCs w:val="22"/>
        </w:rPr>
        <w:t>QCAT</w:t>
      </w: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 must be appointed.</w:t>
      </w:r>
    </w:p>
    <w:p w14:paraId="5ACE75AB" w14:textId="77777777" w:rsidR="009B3FAD" w:rsidRPr="009B3FAD" w:rsidRDefault="009B3FAD" w:rsidP="00823CE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Adjudicators are solicitors who mainly hear </w:t>
      </w:r>
      <w:r w:rsidR="00A706B9">
        <w:rPr>
          <w:rFonts w:ascii="Arial" w:hAnsi="Arial" w:cs="Arial"/>
          <w:bCs/>
          <w:spacing w:val="-3"/>
          <w:sz w:val="22"/>
          <w:szCs w:val="22"/>
        </w:rPr>
        <w:t>MCDs</w:t>
      </w: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. They have the same power and functions of a member and may also be involved in conducting compulsory conferences or mediations. </w:t>
      </w:r>
    </w:p>
    <w:p w14:paraId="3D850201" w14:textId="7A51B0FB" w:rsidR="009B3FAD" w:rsidRDefault="009B3FAD" w:rsidP="00823CE0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A542C">
        <w:rPr>
          <w:rFonts w:ascii="Arial" w:hAnsi="Arial" w:cs="Arial"/>
          <w:bCs/>
          <w:spacing w:val="-3"/>
          <w:sz w:val="22"/>
          <w:szCs w:val="22"/>
          <w:u w:val="single"/>
        </w:rPr>
        <w:t>Cabinet endorse</w:t>
      </w:r>
      <w:r w:rsidR="00386FE5" w:rsidRPr="00FA542C">
        <w:rPr>
          <w:rFonts w:ascii="Arial" w:hAnsi="Arial" w:cs="Arial"/>
          <w:bCs/>
          <w:spacing w:val="-3"/>
          <w:sz w:val="22"/>
          <w:szCs w:val="22"/>
          <w:u w:val="single"/>
        </w:rPr>
        <w:t>d</w:t>
      </w:r>
      <w:r w:rsidR="00386FE5">
        <w:rPr>
          <w:rFonts w:ascii="Arial" w:hAnsi="Arial" w:cs="Arial"/>
          <w:bCs/>
          <w:spacing w:val="-3"/>
          <w:sz w:val="22"/>
          <w:szCs w:val="22"/>
        </w:rPr>
        <w:t xml:space="preserve"> the following </w:t>
      </w:r>
      <w:r w:rsidR="002F01B0">
        <w:rPr>
          <w:rFonts w:ascii="Arial" w:hAnsi="Arial" w:cs="Arial"/>
          <w:bCs/>
          <w:spacing w:val="-3"/>
          <w:sz w:val="22"/>
          <w:szCs w:val="22"/>
        </w:rPr>
        <w:t xml:space="preserve">persons </w:t>
      </w:r>
      <w:r w:rsidR="00386FE5">
        <w:rPr>
          <w:rFonts w:ascii="Arial" w:hAnsi="Arial" w:cs="Arial"/>
          <w:bCs/>
          <w:spacing w:val="-3"/>
          <w:sz w:val="22"/>
          <w:szCs w:val="22"/>
        </w:rPr>
        <w:t xml:space="preserve">be recommended to the Governor in Council for appointment to the positions </w:t>
      </w:r>
      <w:r w:rsidR="00A706B9">
        <w:rPr>
          <w:rFonts w:ascii="Arial" w:hAnsi="Arial" w:cs="Arial"/>
          <w:bCs/>
          <w:spacing w:val="-3"/>
          <w:sz w:val="22"/>
          <w:szCs w:val="22"/>
        </w:rPr>
        <w:t>outline</w:t>
      </w:r>
      <w:r w:rsidR="00B7020D">
        <w:rPr>
          <w:rFonts w:ascii="Arial" w:hAnsi="Arial" w:cs="Arial"/>
          <w:bCs/>
          <w:spacing w:val="-3"/>
          <w:sz w:val="22"/>
          <w:szCs w:val="22"/>
        </w:rPr>
        <w:t>d</w:t>
      </w:r>
      <w:r w:rsidR="00A706B9">
        <w:rPr>
          <w:rFonts w:ascii="Arial" w:hAnsi="Arial" w:cs="Arial"/>
          <w:bCs/>
          <w:spacing w:val="-3"/>
          <w:sz w:val="22"/>
          <w:szCs w:val="22"/>
        </w:rPr>
        <w:t xml:space="preserve"> in the table below </w:t>
      </w:r>
      <w:r w:rsidR="00386FE5">
        <w:rPr>
          <w:rFonts w:ascii="Arial" w:hAnsi="Arial" w:cs="Arial"/>
          <w:bCs/>
          <w:spacing w:val="-3"/>
          <w:sz w:val="22"/>
          <w:szCs w:val="22"/>
        </w:rPr>
        <w:t xml:space="preserve">for </w:t>
      </w:r>
      <w:r w:rsidR="00A706B9">
        <w:rPr>
          <w:rFonts w:ascii="Arial" w:hAnsi="Arial" w:cs="Arial"/>
          <w:bCs/>
          <w:spacing w:val="-3"/>
          <w:sz w:val="22"/>
          <w:szCs w:val="22"/>
        </w:rPr>
        <w:t xml:space="preserve">terms of five years commencing on and from </w:t>
      </w:r>
      <w:r w:rsidR="00754691">
        <w:rPr>
          <w:rFonts w:ascii="Arial" w:hAnsi="Arial" w:cs="Arial"/>
          <w:bCs/>
          <w:spacing w:val="-3"/>
          <w:sz w:val="22"/>
          <w:szCs w:val="22"/>
        </w:rPr>
        <w:t>29 May 2020</w:t>
      </w:r>
      <w:r w:rsidR="00506071">
        <w:rPr>
          <w:rFonts w:ascii="Arial" w:hAnsi="Arial" w:cs="Arial"/>
          <w:bCs/>
          <w:spacing w:val="-3"/>
          <w:sz w:val="22"/>
          <w:szCs w:val="22"/>
        </w:rPr>
        <w:t xml:space="preserve"> to 28 May 202</w:t>
      </w:r>
      <w:r w:rsidR="00B46A14">
        <w:rPr>
          <w:rFonts w:ascii="Arial" w:hAnsi="Arial" w:cs="Arial"/>
          <w:bCs/>
          <w:spacing w:val="-3"/>
          <w:sz w:val="22"/>
          <w:szCs w:val="22"/>
        </w:rPr>
        <w:t>5</w:t>
      </w:r>
      <w:r w:rsidR="00386FE5">
        <w:rPr>
          <w:rFonts w:ascii="Arial" w:hAnsi="Arial" w:cs="Arial"/>
          <w:bCs/>
          <w:spacing w:val="-3"/>
          <w:sz w:val="22"/>
          <w:szCs w:val="22"/>
        </w:rPr>
        <w:t xml:space="preserve">: </w:t>
      </w:r>
    </w:p>
    <w:tbl>
      <w:tblPr>
        <w:tblStyle w:val="TableGrid"/>
        <w:tblW w:w="5954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</w:tblGrid>
      <w:tr w:rsidR="00754691" w14:paraId="33AD4038" w14:textId="77777777" w:rsidTr="00823CE0">
        <w:trPr>
          <w:trHeight w:val="143"/>
        </w:trPr>
        <w:tc>
          <w:tcPr>
            <w:tcW w:w="2977" w:type="dxa"/>
          </w:tcPr>
          <w:p w14:paraId="32AAB4E2" w14:textId="77777777" w:rsidR="00754691" w:rsidRPr="00A706B9" w:rsidRDefault="00754691" w:rsidP="00600C8D">
            <w:pP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A706B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Name</w:t>
            </w:r>
          </w:p>
        </w:tc>
        <w:tc>
          <w:tcPr>
            <w:tcW w:w="2977" w:type="dxa"/>
          </w:tcPr>
          <w:p w14:paraId="59EA17BE" w14:textId="77777777" w:rsidR="00754691" w:rsidRPr="00A706B9" w:rsidRDefault="00754691" w:rsidP="00600C8D">
            <w:pP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A706B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Position</w:t>
            </w:r>
          </w:p>
        </w:tc>
      </w:tr>
      <w:tr w:rsidR="00754691" w14:paraId="562C85CB" w14:textId="77777777" w:rsidTr="00823CE0">
        <w:trPr>
          <w:trHeight w:val="143"/>
        </w:trPr>
        <w:tc>
          <w:tcPr>
            <w:tcW w:w="2977" w:type="dxa"/>
          </w:tcPr>
          <w:p w14:paraId="0468DB4D" w14:textId="2E061B01" w:rsidR="00754691" w:rsidRPr="008201E8" w:rsidRDefault="00754691" w:rsidP="008201E8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8201E8">
              <w:rPr>
                <w:rFonts w:ascii="Arial" w:hAnsi="Arial" w:cs="Arial"/>
                <w:bCs/>
                <w:spacing w:val="-3"/>
                <w:sz w:val="22"/>
                <w:szCs w:val="22"/>
              </w:rPr>
              <w:t>Mr Ian Brown</w:t>
            </w:r>
          </w:p>
        </w:tc>
        <w:tc>
          <w:tcPr>
            <w:tcW w:w="2977" w:type="dxa"/>
          </w:tcPr>
          <w:p w14:paraId="45B1CF72" w14:textId="710797C9" w:rsidR="00754691" w:rsidRPr="008201E8" w:rsidRDefault="00754691" w:rsidP="008201E8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8201E8">
              <w:rPr>
                <w:rFonts w:ascii="Arial" w:hAnsi="Arial" w:cs="Arial"/>
                <w:bCs/>
                <w:spacing w:val="-3"/>
                <w:sz w:val="22"/>
                <w:szCs w:val="22"/>
              </w:rPr>
              <w:t>Full-time Senior Member</w:t>
            </w:r>
          </w:p>
        </w:tc>
      </w:tr>
      <w:tr w:rsidR="00754691" w14:paraId="4E0E8A21" w14:textId="77777777" w:rsidTr="00823CE0">
        <w:trPr>
          <w:trHeight w:val="143"/>
        </w:trPr>
        <w:tc>
          <w:tcPr>
            <w:tcW w:w="2977" w:type="dxa"/>
          </w:tcPr>
          <w:p w14:paraId="188583F4" w14:textId="461FE32D" w:rsidR="00754691" w:rsidRDefault="00754691" w:rsidP="008201E8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Ms Susan Gardiner</w:t>
            </w:r>
          </w:p>
        </w:tc>
        <w:tc>
          <w:tcPr>
            <w:tcW w:w="2977" w:type="dxa"/>
          </w:tcPr>
          <w:p w14:paraId="5523F8C9" w14:textId="77777777" w:rsidR="00754691" w:rsidRDefault="00754691" w:rsidP="00A706B9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Part-time Ordinary Member</w:t>
            </w:r>
          </w:p>
        </w:tc>
      </w:tr>
      <w:tr w:rsidR="00754691" w14:paraId="18E85B0D" w14:textId="77777777" w:rsidTr="00823CE0">
        <w:trPr>
          <w:trHeight w:val="143"/>
        </w:trPr>
        <w:tc>
          <w:tcPr>
            <w:tcW w:w="2977" w:type="dxa"/>
          </w:tcPr>
          <w:p w14:paraId="400BD957" w14:textId="2459AF70" w:rsidR="00754691" w:rsidRDefault="00754691" w:rsidP="008201E8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Ms Anna Walsh</w:t>
            </w:r>
          </w:p>
        </w:tc>
        <w:tc>
          <w:tcPr>
            <w:tcW w:w="2977" w:type="dxa"/>
          </w:tcPr>
          <w:p w14:paraId="219DAA49" w14:textId="77777777" w:rsidR="00754691" w:rsidRDefault="00754691" w:rsidP="00A706B9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Full-time Adjudicator</w:t>
            </w:r>
          </w:p>
        </w:tc>
      </w:tr>
      <w:tr w:rsidR="00754691" w14:paraId="37432A68" w14:textId="77777777" w:rsidTr="00823CE0">
        <w:trPr>
          <w:trHeight w:val="143"/>
        </w:trPr>
        <w:tc>
          <w:tcPr>
            <w:tcW w:w="2977" w:type="dxa"/>
          </w:tcPr>
          <w:p w14:paraId="4D4C22CA" w14:textId="4A808DB3" w:rsidR="00754691" w:rsidRDefault="00754691" w:rsidP="008201E8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Mr Marcus Katter</w:t>
            </w:r>
          </w:p>
        </w:tc>
        <w:tc>
          <w:tcPr>
            <w:tcW w:w="2977" w:type="dxa"/>
          </w:tcPr>
          <w:p w14:paraId="7CDF7493" w14:textId="77777777" w:rsidR="00754691" w:rsidRDefault="00754691" w:rsidP="00A706B9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Part-time Adjudicator</w:t>
            </w:r>
          </w:p>
        </w:tc>
      </w:tr>
      <w:tr w:rsidR="00754691" w14:paraId="07BAA53D" w14:textId="77777777" w:rsidTr="00823CE0">
        <w:trPr>
          <w:trHeight w:val="143"/>
        </w:trPr>
        <w:tc>
          <w:tcPr>
            <w:tcW w:w="2977" w:type="dxa"/>
          </w:tcPr>
          <w:p w14:paraId="26BEB525" w14:textId="3CC41A67" w:rsidR="00754691" w:rsidRDefault="00754691" w:rsidP="008201E8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Ms Gabrielle Mewing</w:t>
            </w:r>
          </w:p>
        </w:tc>
        <w:tc>
          <w:tcPr>
            <w:tcW w:w="2977" w:type="dxa"/>
          </w:tcPr>
          <w:p w14:paraId="7D380C5A" w14:textId="77777777" w:rsidR="00754691" w:rsidRDefault="00754691" w:rsidP="00A706B9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Part-time Adjudicator</w:t>
            </w:r>
          </w:p>
        </w:tc>
      </w:tr>
    </w:tbl>
    <w:p w14:paraId="0AC91C7C" w14:textId="5DE64C64" w:rsidR="002B6F4E" w:rsidRPr="00FA542C" w:rsidRDefault="002B6F4E" w:rsidP="00823CE0">
      <w:pPr>
        <w:pStyle w:val="ListParagraph"/>
        <w:keepLines/>
        <w:numPr>
          <w:ilvl w:val="0"/>
          <w:numId w:val="1"/>
        </w:numPr>
        <w:tabs>
          <w:tab w:val="clear" w:pos="720"/>
        </w:tabs>
        <w:spacing w:before="360"/>
        <w:ind w:left="426"/>
        <w:jc w:val="both"/>
        <w:rPr>
          <w:rFonts w:ascii="Arial" w:hAnsi="Arial" w:cs="Arial"/>
          <w:bCs/>
          <w:iCs/>
          <w:spacing w:val="-3"/>
          <w:sz w:val="22"/>
          <w:szCs w:val="22"/>
        </w:rPr>
      </w:pPr>
      <w:r w:rsidRPr="00FA542C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</w:t>
      </w: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s</w:t>
      </w:r>
    </w:p>
    <w:p w14:paraId="1E61D4DA" w14:textId="4CB93C82" w:rsidR="00386FE5" w:rsidRPr="00436F70" w:rsidRDefault="002B6F4E" w:rsidP="00436F70">
      <w:pPr>
        <w:keepLines/>
        <w:numPr>
          <w:ilvl w:val="0"/>
          <w:numId w:val="7"/>
        </w:numPr>
        <w:spacing w:before="120"/>
        <w:ind w:left="714" w:hanging="357"/>
        <w:jc w:val="both"/>
        <w:rPr>
          <w:rFonts w:ascii="Arial" w:hAnsi="Arial" w:cs="Arial"/>
          <w:iCs/>
          <w:sz w:val="22"/>
          <w:szCs w:val="22"/>
        </w:rPr>
      </w:pPr>
      <w:r w:rsidRPr="004416B7">
        <w:rPr>
          <w:rFonts w:ascii="Arial" w:hAnsi="Arial" w:cs="Arial"/>
          <w:iCs/>
          <w:sz w:val="22"/>
          <w:szCs w:val="22"/>
        </w:rPr>
        <w:t>Nil</w:t>
      </w:r>
      <w:r w:rsidR="00436F70">
        <w:rPr>
          <w:rFonts w:ascii="Arial" w:hAnsi="Arial" w:cs="Arial"/>
          <w:iCs/>
          <w:sz w:val="22"/>
          <w:szCs w:val="22"/>
        </w:rPr>
        <w:t>.</w:t>
      </w:r>
    </w:p>
    <w:sectPr w:rsidR="00386FE5" w:rsidRPr="00436F70" w:rsidSect="00823CE0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C370F" w14:textId="77777777" w:rsidR="001E703E" w:rsidRDefault="001E703E" w:rsidP="00D6589B">
      <w:r>
        <w:separator/>
      </w:r>
    </w:p>
  </w:endnote>
  <w:endnote w:type="continuationSeparator" w:id="0">
    <w:p w14:paraId="281D35DE" w14:textId="77777777" w:rsidR="001E703E" w:rsidRDefault="001E703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5D107" w14:textId="77777777" w:rsidR="001E703E" w:rsidRDefault="001E703E" w:rsidP="00D6589B">
      <w:r>
        <w:separator/>
      </w:r>
    </w:p>
  </w:footnote>
  <w:footnote w:type="continuationSeparator" w:id="0">
    <w:p w14:paraId="28AFA18D" w14:textId="77777777" w:rsidR="001E703E" w:rsidRDefault="001E703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8E19F" w14:textId="77777777" w:rsidR="00CF7DC0" w:rsidRPr="00937A4A" w:rsidRDefault="00CF7DC0" w:rsidP="00CF7DC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F345611" w14:textId="77777777" w:rsidR="00CF7DC0" w:rsidRPr="00937A4A" w:rsidRDefault="00CF7DC0" w:rsidP="00CF7DC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5D6CB0D" w14:textId="523C77C5" w:rsidR="00CF7DC0" w:rsidRPr="00937A4A" w:rsidRDefault="00CF7DC0" w:rsidP="00CF7DC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5B0C78">
      <w:rPr>
        <w:rFonts w:ascii="Arial" w:hAnsi="Arial" w:cs="Arial"/>
        <w:b/>
        <w:color w:val="auto"/>
        <w:sz w:val="22"/>
        <w:szCs w:val="22"/>
        <w:lang w:eastAsia="en-US"/>
      </w:rPr>
      <w:t>May 2020</w:t>
    </w:r>
  </w:p>
  <w:p w14:paraId="5C389BBF" w14:textId="22D48E8F" w:rsidR="00CF7DC0" w:rsidRDefault="005B0C78" w:rsidP="00CF7DC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Reappointment of one Full-time Senior Members, one Part-time </w:t>
    </w:r>
    <w:r w:rsidR="00883ED8">
      <w:rPr>
        <w:rFonts w:ascii="Arial" w:hAnsi="Arial" w:cs="Arial"/>
        <w:b/>
        <w:sz w:val="22"/>
        <w:szCs w:val="22"/>
        <w:u w:val="single"/>
      </w:rPr>
      <w:t>Ordinary Member, one Full-time Adjudicator and two Part-time Adjudicators to the Queensland Civil and Administrative Tribunal</w:t>
    </w:r>
  </w:p>
  <w:p w14:paraId="02BBC90E" w14:textId="6843A176" w:rsidR="00CF7DC0" w:rsidRDefault="003664CD" w:rsidP="00CF7DC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</w:t>
    </w:r>
    <w:r w:rsidR="00CF7DC0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Justice and Leader of the House</w:t>
    </w:r>
  </w:p>
  <w:p w14:paraId="791CC951" w14:textId="77777777" w:rsidR="00CF7DC0" w:rsidRDefault="00CF7DC0" w:rsidP="00CF7DC0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53F5"/>
    <w:multiLevelType w:val="multilevel"/>
    <w:tmpl w:val="CE2E3354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2955499A"/>
    <w:multiLevelType w:val="hybridMultilevel"/>
    <w:tmpl w:val="D64C9B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03E4947"/>
    <w:multiLevelType w:val="hybridMultilevel"/>
    <w:tmpl w:val="B61CD0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C380916"/>
    <w:multiLevelType w:val="hybridMultilevel"/>
    <w:tmpl w:val="2E7A76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469FA2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FE5977"/>
    <w:multiLevelType w:val="hybridMultilevel"/>
    <w:tmpl w:val="DFF67A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74"/>
    <w:rsid w:val="0000598A"/>
    <w:rsid w:val="00035DDF"/>
    <w:rsid w:val="0007367F"/>
    <w:rsid w:val="00080F8F"/>
    <w:rsid w:val="00094025"/>
    <w:rsid w:val="000F36EA"/>
    <w:rsid w:val="0018460F"/>
    <w:rsid w:val="001A06C0"/>
    <w:rsid w:val="001A4E82"/>
    <w:rsid w:val="001B5C11"/>
    <w:rsid w:val="001D7257"/>
    <w:rsid w:val="001E209B"/>
    <w:rsid w:val="001E703E"/>
    <w:rsid w:val="002311D6"/>
    <w:rsid w:val="002B6F4E"/>
    <w:rsid w:val="002C5E50"/>
    <w:rsid w:val="002F01B0"/>
    <w:rsid w:val="003664CD"/>
    <w:rsid w:val="00367B61"/>
    <w:rsid w:val="00370AE7"/>
    <w:rsid w:val="00386FE5"/>
    <w:rsid w:val="003D0EFE"/>
    <w:rsid w:val="00436F70"/>
    <w:rsid w:val="004416B7"/>
    <w:rsid w:val="004C3847"/>
    <w:rsid w:val="00501C66"/>
    <w:rsid w:val="00506071"/>
    <w:rsid w:val="00544B3A"/>
    <w:rsid w:val="00550373"/>
    <w:rsid w:val="00566548"/>
    <w:rsid w:val="005B0C78"/>
    <w:rsid w:val="00600C8D"/>
    <w:rsid w:val="00634E01"/>
    <w:rsid w:val="006462CE"/>
    <w:rsid w:val="00663A4B"/>
    <w:rsid w:val="00717AB4"/>
    <w:rsid w:val="00732E22"/>
    <w:rsid w:val="00754691"/>
    <w:rsid w:val="00762359"/>
    <w:rsid w:val="00766FC7"/>
    <w:rsid w:val="007746F0"/>
    <w:rsid w:val="007C5FF3"/>
    <w:rsid w:val="007D5E26"/>
    <w:rsid w:val="00807D74"/>
    <w:rsid w:val="008201E8"/>
    <w:rsid w:val="00823CE0"/>
    <w:rsid w:val="00883ED8"/>
    <w:rsid w:val="00894BB1"/>
    <w:rsid w:val="008B7DE8"/>
    <w:rsid w:val="008C495A"/>
    <w:rsid w:val="008F44CD"/>
    <w:rsid w:val="0091737C"/>
    <w:rsid w:val="009838F6"/>
    <w:rsid w:val="009B3FAD"/>
    <w:rsid w:val="009D18B1"/>
    <w:rsid w:val="00A203D0"/>
    <w:rsid w:val="00A527A5"/>
    <w:rsid w:val="00A706B9"/>
    <w:rsid w:val="00AA2220"/>
    <w:rsid w:val="00AB262C"/>
    <w:rsid w:val="00B40F0C"/>
    <w:rsid w:val="00B43EFD"/>
    <w:rsid w:val="00B46A14"/>
    <w:rsid w:val="00B7020D"/>
    <w:rsid w:val="00C07656"/>
    <w:rsid w:val="00C828D7"/>
    <w:rsid w:val="00CD058C"/>
    <w:rsid w:val="00CF0D8A"/>
    <w:rsid w:val="00CF7DC0"/>
    <w:rsid w:val="00D26836"/>
    <w:rsid w:val="00D433E5"/>
    <w:rsid w:val="00D436EA"/>
    <w:rsid w:val="00D6589B"/>
    <w:rsid w:val="00D75134"/>
    <w:rsid w:val="00DC32FC"/>
    <w:rsid w:val="00E16C1F"/>
    <w:rsid w:val="00E546DE"/>
    <w:rsid w:val="00EC5418"/>
    <w:rsid w:val="00F2104D"/>
    <w:rsid w:val="00F431CE"/>
    <w:rsid w:val="00F85265"/>
    <w:rsid w:val="00F937C1"/>
    <w:rsid w:val="00F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84AF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38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rtfolioBullet">
    <w:name w:val="Portfolio_Bullet"/>
    <w:basedOn w:val="Normal"/>
    <w:rsid w:val="00A706B9"/>
    <w:pPr>
      <w:keepLines/>
      <w:numPr>
        <w:numId w:val="5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paragraph" w:customStyle="1" w:styleId="PortfolioBullet2">
    <w:name w:val="Portfolio_Bullet2"/>
    <w:basedOn w:val="Normal"/>
    <w:rsid w:val="00A706B9"/>
    <w:pPr>
      <w:keepLines/>
      <w:numPr>
        <w:ilvl w:val="1"/>
        <w:numId w:val="5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paragraph" w:customStyle="1" w:styleId="PortfolioBullet3">
    <w:name w:val="Portfolio_Bullet3"/>
    <w:basedOn w:val="Normal"/>
    <w:rsid w:val="00A706B9"/>
    <w:pPr>
      <w:keepLines/>
      <w:numPr>
        <w:ilvl w:val="2"/>
        <w:numId w:val="5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character" w:styleId="CommentReference">
    <w:name w:val="annotation reference"/>
    <w:basedOn w:val="DefaultParagraphFont"/>
    <w:rsid w:val="005665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65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6548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566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6548"/>
    <w:rPr>
      <w:rFonts w:ascii="Times New Roman" w:hAnsi="Times New Roman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2B6F4E"/>
    <w:pPr>
      <w:ind w:left="720"/>
      <w:contextualSpacing/>
    </w:pPr>
  </w:style>
  <w:style w:type="paragraph" w:styleId="Revision">
    <w:name w:val="Revision"/>
    <w:hidden/>
    <w:uiPriority w:val="99"/>
    <w:semiHidden/>
    <w:rsid w:val="0018460F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9F0F22-B921-4590-B446-B78D950DC5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69A712-FCC6-4660-901C-6BB02BB44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A793F-5730-4341-A9AD-54EAB11A0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11207A-E67A-4748-A0A0-F632710F8F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1496</Characters>
  <Application>Microsoft Office Word</Application>
  <DocSecurity>0</DocSecurity>
  <Lines>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1750</CharactersWithSpaces>
  <SharedDoc>false</SharedDoc>
  <HyperlinkBase>https://www.cabinet.qld.gov.au/documents/2020/May/ApptQCAT/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12</cp:revision>
  <cp:lastPrinted>2019-11-19T05:55:00Z</cp:lastPrinted>
  <dcterms:created xsi:type="dcterms:W3CDTF">2020-05-19T01:19:00Z</dcterms:created>
  <dcterms:modified xsi:type="dcterms:W3CDTF">2020-08-31T06:06:00Z</dcterms:modified>
  <cp:category>Significant_Appointments,Justice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